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Landskrona kommunfullmäktige</w:t>
      </w:r>
    </w:p>
    <w:p>
      <w:pPr>
        <w:pStyle w:val="Heading1"/>
      </w:pPr>
      <w:r>
        <w:t xml:space="preserve">Tidiga språk- och kunskapsinsatser för nyanlända elever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Landskrona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nyanlända elever i Landskrona är hög och språkutvecklingen är en nyckelfaktor för integration. Enligt Skolverket 2023 når endast 45 % av nyanlända godkänt i svenska som andraspråk. Tidiga insatser minskar långsiktiga kostnader för samhället.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Landskrona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kartläggning av språkutveckling redan i förskolan.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modersmålsundervisning kombinerat med intensiv svenska.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anställa fler speciallärare i svenska som andraspråk.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resultaten i samverkan med Skolverket.</w:t>
      </w:r>
    </w:p>
    <w:p>
      <w:pPr>
        <w:spacing w:before="360"/>
      </w:pPr>
    </w:p>
    <w:p>
      <w:r>
        <w:t xml:space="preserve">Landskrona,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Landskrona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2026-07-14T04:08:24.783Z</dcterms:created>
  <dcterms:modified xsi:type="dcterms:W3CDTF">2026-07-14T04:08:24.783Z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